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FD765" w14:textId="77777777" w:rsidR="001B46D7" w:rsidRDefault="001B46D7" w:rsidP="001B46D7">
      <w:pPr>
        <w:spacing w:line="240" w:lineRule="auto"/>
        <w:jc w:val="right"/>
        <w:rPr>
          <w:rFonts w:ascii="Corbel" w:hAnsi="Corbel"/>
          <w:bCs/>
          <w:i/>
          <w:sz w:val="22"/>
        </w:rPr>
      </w:pPr>
      <w:r>
        <w:rPr>
          <w:rFonts w:ascii="Corbel" w:hAnsi="Corbel"/>
          <w:bCs/>
          <w:i/>
        </w:rPr>
        <w:t>Załącznik nr 1.5 do Zarządzenia Rektora UR  nr 12/2019</w:t>
      </w:r>
    </w:p>
    <w:p w14:paraId="2B769A4A" w14:textId="77777777" w:rsidR="001B46D7" w:rsidRDefault="001B46D7" w:rsidP="008F27C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  <w:lang w:eastAsia="en-US"/>
        </w:rPr>
      </w:pPr>
    </w:p>
    <w:p w14:paraId="598A8AA9" w14:textId="26D3EEA3" w:rsidR="008F27C2" w:rsidRPr="008F27C2" w:rsidRDefault="008F27C2" w:rsidP="008F27C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  <w:lang w:eastAsia="en-US"/>
        </w:rPr>
      </w:pPr>
      <w:r w:rsidRPr="008F27C2">
        <w:rPr>
          <w:rFonts w:ascii="Corbel" w:hAnsi="Corbel"/>
          <w:b/>
          <w:smallCaps/>
          <w:sz w:val="21"/>
          <w:szCs w:val="21"/>
          <w:lang w:eastAsia="en-US"/>
        </w:rPr>
        <w:t>SYLABUS</w:t>
      </w:r>
    </w:p>
    <w:p w14:paraId="045A207D" w14:textId="097F577F" w:rsidR="008F27C2" w:rsidRPr="008F27C2" w:rsidRDefault="008F27C2" w:rsidP="008F27C2">
      <w:pPr>
        <w:spacing w:after="0" w:line="240" w:lineRule="auto"/>
        <w:jc w:val="center"/>
        <w:rPr>
          <w:rFonts w:ascii="Corbel" w:hAnsi="Corbel"/>
          <w:smallCaps/>
          <w:sz w:val="21"/>
          <w:szCs w:val="21"/>
          <w:lang w:eastAsia="en-US"/>
        </w:rPr>
      </w:pPr>
      <w:r w:rsidRPr="5D864930">
        <w:rPr>
          <w:rFonts w:ascii="Corbel" w:hAnsi="Corbel"/>
          <w:b/>
          <w:bCs/>
          <w:smallCaps/>
          <w:sz w:val="21"/>
          <w:szCs w:val="21"/>
          <w:lang w:eastAsia="en-US"/>
        </w:rPr>
        <w:t xml:space="preserve">dotyczy cyklu kształcenia </w:t>
      </w:r>
      <w:r w:rsidRPr="001B46D7">
        <w:rPr>
          <w:rFonts w:ascii="Corbel" w:hAnsi="Corbel"/>
          <w:b/>
          <w:bCs/>
          <w:smallCaps/>
          <w:sz w:val="21"/>
          <w:szCs w:val="21"/>
          <w:lang w:eastAsia="en-US"/>
        </w:rPr>
        <w:t>20</w:t>
      </w:r>
      <w:r w:rsidR="00257DDC">
        <w:rPr>
          <w:rFonts w:ascii="Corbel" w:hAnsi="Corbel"/>
          <w:b/>
          <w:bCs/>
          <w:smallCaps/>
          <w:sz w:val="21"/>
          <w:szCs w:val="21"/>
          <w:lang w:eastAsia="en-US"/>
        </w:rPr>
        <w:t>19</w:t>
      </w:r>
      <w:r w:rsidRPr="001B46D7">
        <w:rPr>
          <w:rFonts w:ascii="Corbel" w:hAnsi="Corbel"/>
          <w:b/>
          <w:bCs/>
          <w:smallCaps/>
          <w:sz w:val="21"/>
          <w:szCs w:val="21"/>
          <w:lang w:eastAsia="en-US"/>
        </w:rPr>
        <w:t>-202</w:t>
      </w:r>
      <w:r w:rsidR="00257DDC">
        <w:rPr>
          <w:rFonts w:ascii="Corbel" w:hAnsi="Corbel"/>
          <w:b/>
          <w:bCs/>
          <w:smallCaps/>
          <w:sz w:val="21"/>
          <w:szCs w:val="21"/>
          <w:lang w:eastAsia="en-US"/>
        </w:rPr>
        <w:t>2</w:t>
      </w:r>
    </w:p>
    <w:p w14:paraId="635E9350" w14:textId="5D43C920" w:rsidR="008F27C2" w:rsidRPr="008F27C2" w:rsidRDefault="008F27C2" w:rsidP="5D864930">
      <w:pPr>
        <w:spacing w:after="0" w:line="240" w:lineRule="auto"/>
        <w:jc w:val="center"/>
        <w:rPr>
          <w:rFonts w:ascii="Corbel" w:hAnsi="Corbel"/>
          <w:b/>
          <w:bCs/>
          <w:smallCaps/>
          <w:sz w:val="21"/>
          <w:szCs w:val="21"/>
          <w:lang w:eastAsia="en-US"/>
        </w:rPr>
      </w:pPr>
      <w:r w:rsidRPr="5D864930">
        <w:rPr>
          <w:rFonts w:ascii="Corbel" w:eastAsia="Times New Roman" w:hAnsi="Corbel"/>
          <w:sz w:val="21"/>
          <w:szCs w:val="21"/>
        </w:rPr>
        <w:t>Rok akademicki</w:t>
      </w:r>
      <w:r w:rsidRPr="5D864930">
        <w:rPr>
          <w:rFonts w:ascii="Corbel" w:hAnsi="Corbel"/>
          <w:smallCaps/>
          <w:sz w:val="21"/>
          <w:szCs w:val="21"/>
          <w:lang w:eastAsia="en-US"/>
        </w:rPr>
        <w:t xml:space="preserve"> 202</w:t>
      </w:r>
      <w:r w:rsidR="00257DDC">
        <w:rPr>
          <w:rFonts w:ascii="Corbel" w:hAnsi="Corbel"/>
          <w:smallCaps/>
          <w:sz w:val="21"/>
          <w:szCs w:val="21"/>
          <w:lang w:eastAsia="en-US"/>
        </w:rPr>
        <w:t>1</w:t>
      </w:r>
      <w:r w:rsidRPr="5D864930">
        <w:rPr>
          <w:rFonts w:ascii="Corbel" w:hAnsi="Corbel"/>
          <w:smallCaps/>
          <w:sz w:val="21"/>
          <w:szCs w:val="21"/>
          <w:lang w:eastAsia="en-US"/>
        </w:rPr>
        <w:t>/202</w:t>
      </w:r>
      <w:r w:rsidR="00257DDC">
        <w:rPr>
          <w:rFonts w:ascii="Corbel" w:hAnsi="Corbel"/>
          <w:smallCaps/>
          <w:sz w:val="21"/>
          <w:szCs w:val="21"/>
          <w:lang w:eastAsia="en-US"/>
        </w:rPr>
        <w:t>2</w:t>
      </w:r>
      <w:bookmarkStart w:id="0" w:name="_GoBack"/>
      <w:bookmarkEnd w:id="0"/>
    </w:p>
    <w:p w14:paraId="0A37501D" w14:textId="77777777" w:rsidR="0059330F" w:rsidRPr="008F27C2" w:rsidRDefault="0059330F" w:rsidP="0059330F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5DAB6C7B" w14:textId="77777777" w:rsidR="0059330F" w:rsidRPr="008F27C2" w:rsidRDefault="0059330F" w:rsidP="0059330F">
      <w:pPr>
        <w:spacing w:after="0" w:line="240" w:lineRule="auto"/>
        <w:rPr>
          <w:rFonts w:ascii="Corbel" w:hAnsi="Corbel"/>
          <w:sz w:val="21"/>
          <w:szCs w:val="21"/>
        </w:rPr>
      </w:pPr>
    </w:p>
    <w:p w14:paraId="1A0252FB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379"/>
      </w:tblGrid>
      <w:tr w:rsidR="0059330F" w:rsidRPr="008F27C2" w14:paraId="4CDEE7D3" w14:textId="77777777" w:rsidTr="001B46D7">
        <w:tc>
          <w:tcPr>
            <w:tcW w:w="2694" w:type="dxa"/>
            <w:vAlign w:val="center"/>
          </w:tcPr>
          <w:p w14:paraId="59701564" w14:textId="77777777" w:rsidR="0059330F" w:rsidRPr="008F27C2" w:rsidRDefault="0059330F" w:rsidP="008F27C2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Nazwa przedmiotu</w:t>
            </w:r>
          </w:p>
        </w:tc>
        <w:tc>
          <w:tcPr>
            <w:tcW w:w="6379" w:type="dxa"/>
            <w:vAlign w:val="center"/>
          </w:tcPr>
          <w:p w14:paraId="5EBD7A8F" w14:textId="77777777" w:rsidR="0059330F" w:rsidRPr="008F27C2" w:rsidRDefault="0059330F" w:rsidP="5D864930">
            <w:pPr>
              <w:pStyle w:val="Odpowiedzi"/>
              <w:spacing w:before="60" w:after="60"/>
              <w:rPr>
                <w:rFonts w:ascii="Corbel" w:hAnsi="Corbel"/>
                <w:b w:val="0"/>
                <w:sz w:val="21"/>
                <w:szCs w:val="21"/>
              </w:rPr>
            </w:pPr>
            <w:r w:rsidRPr="5D864930">
              <w:rPr>
                <w:rFonts w:ascii="Corbel" w:hAnsi="Corbel"/>
                <w:b w:val="0"/>
                <w:color w:val="000000" w:themeColor="text1"/>
                <w:sz w:val="21"/>
                <w:szCs w:val="21"/>
              </w:rPr>
              <w:t xml:space="preserve">Instytucjonalizacja i finansowanie transferu technologii i wiedzy </w:t>
            </w:r>
          </w:p>
        </w:tc>
      </w:tr>
      <w:tr w:rsidR="0059330F" w:rsidRPr="008F27C2" w14:paraId="50FC0420" w14:textId="77777777" w:rsidTr="001B46D7">
        <w:tc>
          <w:tcPr>
            <w:tcW w:w="2694" w:type="dxa"/>
            <w:vAlign w:val="center"/>
          </w:tcPr>
          <w:p w14:paraId="4CA29152" w14:textId="77777777" w:rsidR="0059330F" w:rsidRPr="008F27C2" w:rsidRDefault="008F27C2" w:rsidP="008F27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Kod przedmiotu*</w:t>
            </w:r>
          </w:p>
        </w:tc>
        <w:tc>
          <w:tcPr>
            <w:tcW w:w="6379" w:type="dxa"/>
            <w:vAlign w:val="center"/>
          </w:tcPr>
          <w:p w14:paraId="3BD06722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8F27C2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/I/RP/C-1.6a  </w:t>
            </w:r>
          </w:p>
        </w:tc>
      </w:tr>
      <w:tr w:rsidR="008F27C2" w:rsidRPr="008F27C2" w14:paraId="4E2F8C33" w14:textId="77777777" w:rsidTr="001B46D7">
        <w:tc>
          <w:tcPr>
            <w:tcW w:w="2694" w:type="dxa"/>
            <w:vAlign w:val="center"/>
          </w:tcPr>
          <w:p w14:paraId="19552E28" w14:textId="77777777" w:rsidR="008F27C2" w:rsidRPr="008F27C2" w:rsidRDefault="008F27C2" w:rsidP="002B0E3F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Nazwa jednostki prowadzącej kierunek</w:t>
            </w:r>
          </w:p>
        </w:tc>
        <w:tc>
          <w:tcPr>
            <w:tcW w:w="6379" w:type="dxa"/>
            <w:vAlign w:val="center"/>
          </w:tcPr>
          <w:p w14:paraId="7E3E3000" w14:textId="77777777" w:rsidR="008F27C2" w:rsidRPr="008F27C2" w:rsidRDefault="008F27C2" w:rsidP="002B0E3F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Kolegium Nauk Społecznych</w:t>
            </w:r>
          </w:p>
        </w:tc>
      </w:tr>
      <w:tr w:rsidR="0059330F" w:rsidRPr="008F27C2" w14:paraId="688FB9FB" w14:textId="77777777" w:rsidTr="001B46D7">
        <w:tc>
          <w:tcPr>
            <w:tcW w:w="2694" w:type="dxa"/>
            <w:vAlign w:val="center"/>
          </w:tcPr>
          <w:p w14:paraId="0A39E105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379" w:type="dxa"/>
            <w:vAlign w:val="center"/>
          </w:tcPr>
          <w:p w14:paraId="43C86344" w14:textId="3B15E6B9" w:rsidR="0059330F" w:rsidRPr="008F27C2" w:rsidRDefault="6798006A" w:rsidP="5D8649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5D864930">
              <w:rPr>
                <w:rFonts w:ascii="Corbel" w:hAnsi="Corbel"/>
                <w:b w:val="0"/>
                <w:color w:val="000000" w:themeColor="text1"/>
                <w:sz w:val="21"/>
                <w:szCs w:val="21"/>
              </w:rPr>
              <w:t>Instytut Ekonomii i Finansów KNS</w:t>
            </w:r>
          </w:p>
        </w:tc>
      </w:tr>
      <w:tr w:rsidR="0059330F" w:rsidRPr="008F27C2" w14:paraId="33E2A44A" w14:textId="77777777" w:rsidTr="001B46D7">
        <w:tc>
          <w:tcPr>
            <w:tcW w:w="2694" w:type="dxa"/>
            <w:vAlign w:val="center"/>
          </w:tcPr>
          <w:p w14:paraId="4B835047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379" w:type="dxa"/>
            <w:vAlign w:val="center"/>
          </w:tcPr>
          <w:p w14:paraId="3B233FEB" w14:textId="2CC40DD8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Finanse i </w:t>
            </w:r>
            <w:r w:rsidR="00240E59">
              <w:rPr>
                <w:rFonts w:ascii="Corbel" w:hAnsi="Corbel"/>
                <w:b w:val="0"/>
                <w:sz w:val="21"/>
                <w:szCs w:val="21"/>
              </w:rPr>
              <w:t>R</w:t>
            </w:r>
            <w:r w:rsidRPr="008F27C2">
              <w:rPr>
                <w:rFonts w:ascii="Corbel" w:hAnsi="Corbel"/>
                <w:b w:val="0"/>
                <w:sz w:val="21"/>
                <w:szCs w:val="21"/>
              </w:rPr>
              <w:t>achunkowość</w:t>
            </w:r>
          </w:p>
        </w:tc>
      </w:tr>
      <w:tr w:rsidR="0059330F" w:rsidRPr="008F27C2" w14:paraId="11C4388D" w14:textId="77777777" w:rsidTr="001B46D7">
        <w:tc>
          <w:tcPr>
            <w:tcW w:w="2694" w:type="dxa"/>
            <w:vAlign w:val="center"/>
          </w:tcPr>
          <w:p w14:paraId="4C8DEF9C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379" w:type="dxa"/>
            <w:vAlign w:val="center"/>
          </w:tcPr>
          <w:p w14:paraId="43B687EC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59330F" w:rsidRPr="008F27C2" w14:paraId="513188F7" w14:textId="77777777" w:rsidTr="001B46D7">
        <w:tc>
          <w:tcPr>
            <w:tcW w:w="2694" w:type="dxa"/>
            <w:vAlign w:val="center"/>
          </w:tcPr>
          <w:p w14:paraId="04C0481C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379" w:type="dxa"/>
            <w:vAlign w:val="center"/>
          </w:tcPr>
          <w:p w14:paraId="14278DA3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8F27C2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59330F" w:rsidRPr="008F27C2" w14:paraId="7081EB6B" w14:textId="77777777" w:rsidTr="001B46D7">
        <w:tc>
          <w:tcPr>
            <w:tcW w:w="2694" w:type="dxa"/>
            <w:vAlign w:val="center"/>
          </w:tcPr>
          <w:p w14:paraId="7C3992E0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379" w:type="dxa"/>
            <w:vAlign w:val="center"/>
          </w:tcPr>
          <w:p w14:paraId="66027121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59330F" w:rsidRPr="008F27C2" w14:paraId="4A3092B7" w14:textId="77777777" w:rsidTr="001B46D7">
        <w:tc>
          <w:tcPr>
            <w:tcW w:w="2694" w:type="dxa"/>
            <w:vAlign w:val="center"/>
          </w:tcPr>
          <w:p w14:paraId="393EE506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379" w:type="dxa"/>
            <w:vAlign w:val="center"/>
          </w:tcPr>
          <w:p w14:paraId="44EC89BC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III/5</w:t>
            </w:r>
          </w:p>
        </w:tc>
      </w:tr>
      <w:tr w:rsidR="0059330F" w:rsidRPr="008F27C2" w14:paraId="26CFE4F0" w14:textId="77777777" w:rsidTr="001B46D7">
        <w:tc>
          <w:tcPr>
            <w:tcW w:w="2694" w:type="dxa"/>
            <w:vAlign w:val="center"/>
          </w:tcPr>
          <w:p w14:paraId="5863A118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379" w:type="dxa"/>
            <w:vAlign w:val="center"/>
          </w:tcPr>
          <w:p w14:paraId="23887888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59330F" w:rsidRPr="008F27C2" w14:paraId="5A90A06A" w14:textId="77777777" w:rsidTr="001B46D7">
        <w:tc>
          <w:tcPr>
            <w:tcW w:w="2694" w:type="dxa"/>
            <w:vAlign w:val="center"/>
          </w:tcPr>
          <w:p w14:paraId="13A990D4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379" w:type="dxa"/>
            <w:vAlign w:val="center"/>
          </w:tcPr>
          <w:p w14:paraId="2FB77BF7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59330F" w:rsidRPr="008F27C2" w14:paraId="2D307AA7" w14:textId="77777777" w:rsidTr="001B46D7">
        <w:tc>
          <w:tcPr>
            <w:tcW w:w="2694" w:type="dxa"/>
            <w:vAlign w:val="center"/>
          </w:tcPr>
          <w:p w14:paraId="69C2AF6E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379" w:type="dxa"/>
            <w:vAlign w:val="center"/>
          </w:tcPr>
          <w:p w14:paraId="54EBF2C2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dr inż. Małgorzata Lechwar</w:t>
            </w:r>
          </w:p>
        </w:tc>
      </w:tr>
      <w:tr w:rsidR="0059330F" w:rsidRPr="008F27C2" w14:paraId="7D282FFE" w14:textId="77777777" w:rsidTr="001B46D7">
        <w:tc>
          <w:tcPr>
            <w:tcW w:w="2694" w:type="dxa"/>
            <w:vAlign w:val="center"/>
          </w:tcPr>
          <w:p w14:paraId="471FE442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379" w:type="dxa"/>
            <w:vAlign w:val="center"/>
          </w:tcPr>
          <w:p w14:paraId="66A72E07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dr inż. Małgorzata Lechwar</w:t>
            </w:r>
          </w:p>
        </w:tc>
      </w:tr>
    </w:tbl>
    <w:p w14:paraId="4DE066A3" w14:textId="0E02FBA3" w:rsidR="008F27C2" w:rsidRPr="008F27C2" w:rsidRDefault="008F27C2" w:rsidP="008F27C2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orbel" w:eastAsia="Times New Roman" w:hAnsi="Corbel"/>
          <w:b/>
          <w:szCs w:val="24"/>
        </w:rPr>
      </w:pPr>
      <w:r w:rsidRPr="008F27C2">
        <w:rPr>
          <w:rFonts w:ascii="Corbel" w:eastAsia="Times New Roman" w:hAnsi="Corbel"/>
          <w:b/>
          <w:szCs w:val="24"/>
        </w:rPr>
        <w:t xml:space="preserve">* </w:t>
      </w:r>
      <w:r w:rsidRPr="008F27C2">
        <w:rPr>
          <w:rFonts w:ascii="Corbel" w:eastAsia="Times New Roman" w:hAnsi="Corbel"/>
          <w:i/>
          <w:szCs w:val="24"/>
        </w:rPr>
        <w:t>opcjonalni</w:t>
      </w:r>
      <w:r w:rsidRPr="008F27C2">
        <w:rPr>
          <w:rFonts w:ascii="Corbel" w:eastAsia="Times New Roman" w:hAnsi="Corbel"/>
          <w:szCs w:val="24"/>
        </w:rPr>
        <w:t>e,</w:t>
      </w:r>
      <w:r w:rsidR="005E3EFA">
        <w:rPr>
          <w:rFonts w:ascii="Corbel" w:eastAsia="Times New Roman" w:hAnsi="Corbel"/>
          <w:szCs w:val="24"/>
        </w:rPr>
        <w:t xml:space="preserve"> </w:t>
      </w:r>
      <w:r w:rsidRPr="008F27C2">
        <w:rPr>
          <w:rFonts w:ascii="Corbel" w:eastAsia="Times New Roman" w:hAnsi="Corbel"/>
          <w:i/>
          <w:szCs w:val="24"/>
        </w:rPr>
        <w:t>zgodnie z ustaleniami w Jednostce</w:t>
      </w:r>
    </w:p>
    <w:p w14:paraId="7E0A0F74" w14:textId="77777777" w:rsidR="0059330F" w:rsidRPr="008F27C2" w:rsidRDefault="0059330F" w:rsidP="0059330F">
      <w:pPr>
        <w:pStyle w:val="Podpunkty"/>
        <w:ind w:left="284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59330F" w:rsidRPr="008F27C2" w14:paraId="6B53DC6D" w14:textId="77777777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59330F" w:rsidRPr="008F27C2" w:rsidRDefault="0059330F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14:paraId="64C63F33" w14:textId="77777777" w:rsidR="0059330F" w:rsidRPr="008F27C2" w:rsidRDefault="0059330F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Wykł</w:t>
            </w:r>
            <w:proofErr w:type="spellEnd"/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Konw</w:t>
            </w:r>
            <w:proofErr w:type="spellEnd"/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Sem</w:t>
            </w:r>
            <w:proofErr w:type="spellEnd"/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proofErr w:type="spellStart"/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Prakt</w:t>
            </w:r>
            <w:proofErr w:type="spellEnd"/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59330F" w:rsidRPr="008F27C2" w14:paraId="368B8C02" w14:textId="77777777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14:paraId="0E27B00A" w14:textId="77777777" w:rsidR="0059330F" w:rsidRPr="008F27C2" w:rsidRDefault="0059330F" w:rsidP="0059330F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14:paraId="09DFF0A3" w14:textId="77777777" w:rsidR="0059330F" w:rsidRPr="008F27C2" w:rsidRDefault="0059330F" w:rsidP="0059330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5D864930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14:paraId="073E30E7" w14:textId="02AD1293" w:rsidR="49C6DC14" w:rsidRDefault="49C6DC14" w:rsidP="5D864930">
      <w:pPr>
        <w:spacing w:after="0" w:line="240" w:lineRule="auto"/>
        <w:rPr>
          <w:rFonts w:ascii="Corbel" w:hAnsi="Corbel"/>
          <w:sz w:val="21"/>
          <w:szCs w:val="21"/>
        </w:rPr>
      </w:pPr>
      <w:r w:rsidRPr="5D864930">
        <w:rPr>
          <w:rFonts w:ascii="Wingdings" w:eastAsia="Wingdings" w:hAnsi="Wingdings" w:cs="Wingdings"/>
          <w:sz w:val="28"/>
          <w:szCs w:val="28"/>
        </w:rPr>
        <w:t></w:t>
      </w:r>
      <w:r w:rsidRPr="5D864930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5D864930">
        <w:rPr>
          <w:rFonts w:ascii="Corbel" w:eastAsia="Corbel" w:hAnsi="Corbel" w:cs="Corbel"/>
          <w:smallCaps/>
          <w:szCs w:val="24"/>
        </w:rPr>
        <w:t>z</w:t>
      </w:r>
      <w:r w:rsidRPr="5D864930">
        <w:rPr>
          <w:rFonts w:ascii="Corbel" w:hAnsi="Corbel"/>
          <w:sz w:val="21"/>
          <w:szCs w:val="21"/>
        </w:rPr>
        <w:t xml:space="preserve">ajęcia w formie tradycyjnej lub z wykorzystaniem platformy Ms </w:t>
      </w:r>
      <w:proofErr w:type="spellStart"/>
      <w:r w:rsidRPr="5D864930">
        <w:rPr>
          <w:rFonts w:ascii="Corbel" w:hAnsi="Corbel"/>
          <w:sz w:val="21"/>
          <w:szCs w:val="21"/>
        </w:rPr>
        <w:t>Teams</w:t>
      </w:r>
      <w:proofErr w:type="spellEnd"/>
    </w:p>
    <w:p w14:paraId="7E21C164" w14:textId="12BE2209" w:rsidR="49C6DC14" w:rsidRDefault="49C6DC14" w:rsidP="5D864930">
      <w:pPr>
        <w:spacing w:after="0" w:line="240" w:lineRule="auto"/>
        <w:rPr>
          <w:rFonts w:ascii="Corbel" w:hAnsi="Corbel"/>
          <w:sz w:val="21"/>
          <w:szCs w:val="21"/>
        </w:rPr>
      </w:pPr>
      <w:r w:rsidRPr="005E3EFA">
        <w:rPr>
          <w:rFonts w:ascii="MS Gothic" w:eastAsia="MS Gothic" w:hAnsi="MS Gothic" w:cs="MS Gothic"/>
          <w:smallCaps/>
          <w:szCs w:val="24"/>
        </w:rPr>
        <w:t>☐</w:t>
      </w:r>
      <w:r w:rsidRPr="5D864930">
        <w:rPr>
          <w:rFonts w:ascii="Corbel" w:eastAsia="Corbel" w:hAnsi="Corbel" w:cs="Corbel"/>
          <w:smallCaps/>
          <w:szCs w:val="24"/>
        </w:rPr>
        <w:t xml:space="preserve"> </w:t>
      </w:r>
      <w:r w:rsidRPr="5D864930">
        <w:rPr>
          <w:rFonts w:ascii="Corbel" w:hAnsi="Corbel"/>
          <w:sz w:val="21"/>
          <w:szCs w:val="21"/>
        </w:rPr>
        <w:t>zajęcia realizowane z wykorzystaniem metod i technik kształcenia na odległość</w:t>
      </w:r>
    </w:p>
    <w:p w14:paraId="0B3517A2" w14:textId="714F7702" w:rsidR="5D864930" w:rsidRDefault="5D864930" w:rsidP="5D86493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60061E4C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14:paraId="2FF335FF" w14:textId="77777777" w:rsidR="0059330F" w:rsidRPr="008F27C2" w:rsidRDefault="0059330F" w:rsidP="0059330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>1.3. Forma zaliczenia przedmiotu (z toku)</w:t>
      </w:r>
      <w:r w:rsidR="008F27C2">
        <w:rPr>
          <w:rFonts w:ascii="Corbel" w:hAnsi="Corbel"/>
          <w:smallCaps w:val="0"/>
          <w:sz w:val="21"/>
          <w:szCs w:val="21"/>
        </w:rPr>
        <w:t xml:space="preserve"> </w:t>
      </w:r>
      <w:r w:rsidRPr="008F27C2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14:paraId="55D48E7E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14:paraId="44EAFD9C" w14:textId="77777777" w:rsidR="0059330F" w:rsidRPr="008F27C2" w:rsidRDefault="0059330F" w:rsidP="0059330F">
      <w:pPr>
        <w:pStyle w:val="Punktygwne"/>
        <w:spacing w:before="0" w:after="0"/>
        <w:ind w:left="284"/>
        <w:rPr>
          <w:rFonts w:ascii="Corbel" w:hAnsi="Corbel"/>
          <w:sz w:val="21"/>
          <w:szCs w:val="21"/>
        </w:rPr>
      </w:pPr>
    </w:p>
    <w:p w14:paraId="34325C83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9330F" w:rsidRPr="008F27C2" w14:paraId="46A99322" w14:textId="77777777" w:rsidTr="00983435">
        <w:tc>
          <w:tcPr>
            <w:tcW w:w="9670" w:type="dxa"/>
          </w:tcPr>
          <w:p w14:paraId="54C7A20B" w14:textId="77777777" w:rsidR="0059330F" w:rsidRPr="008F27C2" w:rsidRDefault="0059330F" w:rsidP="0098343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Ogólna wiedza o procesach gospodarczych, umiejętność posługiwania się narzędziami  internetowymi do śledzenia trendów w gospodarce, kompetencje wyrażające się w zainteresowaniu i zaangażowaniu w procesy innowacyjne w gospodarce.</w:t>
            </w:r>
          </w:p>
        </w:tc>
      </w:tr>
    </w:tbl>
    <w:p w14:paraId="4B94D5A5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7BB15133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>3. CELE, EFEKTY</w:t>
      </w:r>
      <w:r w:rsidR="008F27C2">
        <w:rPr>
          <w:rFonts w:ascii="Corbel" w:hAnsi="Corbel"/>
          <w:sz w:val="21"/>
          <w:szCs w:val="21"/>
        </w:rPr>
        <w:t xml:space="preserve"> UCZENIA SIĘ</w:t>
      </w:r>
      <w:r w:rsidR="008F27C2" w:rsidRPr="008F27C2">
        <w:rPr>
          <w:rFonts w:ascii="Corbel" w:hAnsi="Corbel"/>
          <w:sz w:val="21"/>
          <w:szCs w:val="21"/>
        </w:rPr>
        <w:t xml:space="preserve">, </w:t>
      </w:r>
      <w:r w:rsidRPr="008F27C2">
        <w:rPr>
          <w:rFonts w:ascii="Corbel" w:hAnsi="Corbel"/>
          <w:sz w:val="21"/>
          <w:szCs w:val="21"/>
        </w:rPr>
        <w:t>TREŚCI PROGRAMOWE I STOSOWANE METODY DYDAKTYCZNE</w:t>
      </w:r>
    </w:p>
    <w:p w14:paraId="62AE6798" w14:textId="77777777" w:rsidR="0059330F" w:rsidRPr="008F27C2" w:rsidRDefault="0059330F" w:rsidP="0059330F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3.1.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59330F" w:rsidRPr="008F27C2" w14:paraId="02F6C2EB" w14:textId="77777777" w:rsidTr="00983435">
        <w:tc>
          <w:tcPr>
            <w:tcW w:w="851" w:type="dxa"/>
            <w:vAlign w:val="center"/>
          </w:tcPr>
          <w:p w14:paraId="5372B5A4" w14:textId="77777777" w:rsidR="0059330F" w:rsidRPr="008F27C2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1C0460" w14:textId="77777777" w:rsidR="0059330F" w:rsidRPr="008F27C2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Zapoznanie z teoretycznymi i praktycznymi aspektami procesu transferu technologii i wiedzy.</w:t>
            </w:r>
          </w:p>
        </w:tc>
      </w:tr>
      <w:tr w:rsidR="0059330F" w:rsidRPr="008F27C2" w14:paraId="62E48261" w14:textId="77777777" w:rsidTr="00983435">
        <w:tc>
          <w:tcPr>
            <w:tcW w:w="851" w:type="dxa"/>
            <w:vAlign w:val="center"/>
          </w:tcPr>
          <w:p w14:paraId="550CF7E8" w14:textId="77777777" w:rsidR="0059330F" w:rsidRPr="008F27C2" w:rsidRDefault="0059330F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60DACA4B" w14:textId="77777777" w:rsidR="0059330F" w:rsidRPr="008F27C2" w:rsidRDefault="0059330F" w:rsidP="009834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Prezentacja kluczowych obszarów w procesie transferu technologii i wiedzy decydujących o efektach ekonomicznych przedsięwzięcia.</w:t>
            </w:r>
          </w:p>
        </w:tc>
      </w:tr>
      <w:tr w:rsidR="0059330F" w:rsidRPr="008F27C2" w14:paraId="739BBDAF" w14:textId="77777777" w:rsidTr="00983435">
        <w:tc>
          <w:tcPr>
            <w:tcW w:w="851" w:type="dxa"/>
            <w:vAlign w:val="center"/>
          </w:tcPr>
          <w:p w14:paraId="53C0B3C4" w14:textId="77777777" w:rsidR="0059330F" w:rsidRPr="008F27C2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14:paraId="5B43C4BD" w14:textId="77777777" w:rsidR="0059330F" w:rsidRPr="008F27C2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Prezentacja procesu przygotowania transferu technologii i wiedzy przedsięwzięcia oraz  związanych z tym niezbędnych analiz.</w:t>
            </w:r>
          </w:p>
        </w:tc>
      </w:tr>
    </w:tbl>
    <w:p w14:paraId="3DEEC669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14:paraId="7291FE46" w14:textId="77777777" w:rsidR="0059330F" w:rsidRPr="008F27C2" w:rsidRDefault="0059330F" w:rsidP="0059330F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b/>
          <w:sz w:val="21"/>
          <w:szCs w:val="21"/>
        </w:rPr>
        <w:t>3.2. Efekty kształcenia dla przedmiotu</w:t>
      </w:r>
      <w:r w:rsidRPr="008F27C2">
        <w:rPr>
          <w:rFonts w:ascii="Corbel" w:hAnsi="Corbel"/>
          <w:sz w:val="21"/>
          <w:szCs w:val="21"/>
        </w:rPr>
        <w:t xml:space="preserve"> (</w:t>
      </w:r>
      <w:r w:rsidRPr="008F27C2">
        <w:rPr>
          <w:rFonts w:ascii="Corbel" w:hAnsi="Corbel"/>
          <w:i/>
          <w:sz w:val="21"/>
          <w:szCs w:val="21"/>
        </w:rPr>
        <w:t>wypełnia koordynator</w:t>
      </w:r>
      <w:r w:rsidRPr="008F27C2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3"/>
        <w:gridCol w:w="5700"/>
        <w:gridCol w:w="1827"/>
      </w:tblGrid>
      <w:tr w:rsidR="0059330F" w:rsidRPr="008F27C2" w14:paraId="5C013CFF" w14:textId="77777777" w:rsidTr="008F27C2">
        <w:tc>
          <w:tcPr>
            <w:tcW w:w="1653" w:type="dxa"/>
            <w:vAlign w:val="center"/>
          </w:tcPr>
          <w:p w14:paraId="710BD921" w14:textId="77777777" w:rsidR="0059330F" w:rsidRPr="008F27C2" w:rsidRDefault="0059330F" w:rsidP="00060E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</w:t>
            </w:r>
            <w:r w:rsidR="00060E05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uczenia się </w:t>
            </w: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)</w:t>
            </w:r>
          </w:p>
        </w:tc>
        <w:tc>
          <w:tcPr>
            <w:tcW w:w="5700" w:type="dxa"/>
            <w:vAlign w:val="center"/>
          </w:tcPr>
          <w:p w14:paraId="1DEC5602" w14:textId="77777777" w:rsidR="0059330F" w:rsidRPr="008F27C2" w:rsidRDefault="0059330F" w:rsidP="00060E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Treść efektu </w:t>
            </w:r>
            <w:r w:rsidR="00060E05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uczenia się </w:t>
            </w: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zdefiniowanego dla przedmiotu </w:t>
            </w:r>
          </w:p>
        </w:tc>
        <w:tc>
          <w:tcPr>
            <w:tcW w:w="1827" w:type="dxa"/>
            <w:vAlign w:val="center"/>
          </w:tcPr>
          <w:p w14:paraId="2604385B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8F27C2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59330F" w:rsidRPr="008F27C2" w14:paraId="7676DDF1" w14:textId="77777777" w:rsidTr="008F27C2">
        <w:tc>
          <w:tcPr>
            <w:tcW w:w="1653" w:type="dxa"/>
          </w:tcPr>
          <w:p w14:paraId="4FCA5964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5700" w:type="dxa"/>
          </w:tcPr>
          <w:p w14:paraId="1D16D5D3" w14:textId="77777777" w:rsidR="0059330F" w:rsidRPr="008F27C2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charakteryzuje zasady i etapy procesu transferu technologii i wiedzy oraz metody oceny potencjału komercyjnego innowacyjnego pomysłu.</w:t>
            </w:r>
          </w:p>
        </w:tc>
        <w:tc>
          <w:tcPr>
            <w:tcW w:w="1827" w:type="dxa"/>
          </w:tcPr>
          <w:p w14:paraId="79569C6D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14:paraId="3FB25131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14:paraId="01A75E0E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</w:tc>
      </w:tr>
      <w:tr w:rsidR="0059330F" w:rsidRPr="008F27C2" w14:paraId="5E9842F3" w14:textId="77777777" w:rsidTr="008F27C2">
        <w:tc>
          <w:tcPr>
            <w:tcW w:w="1653" w:type="dxa"/>
          </w:tcPr>
          <w:p w14:paraId="56A76B19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700" w:type="dxa"/>
          </w:tcPr>
          <w:p w14:paraId="54115D85" w14:textId="77777777" w:rsidR="0059330F" w:rsidRPr="008F27C2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wymienia i charakteryzuje potencjalne źródła finansowania procesu transferu technologii i wiedzy.</w:t>
            </w:r>
          </w:p>
        </w:tc>
        <w:tc>
          <w:tcPr>
            <w:tcW w:w="1827" w:type="dxa"/>
          </w:tcPr>
          <w:p w14:paraId="3CFCD0C1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14:paraId="5E6EAEE4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</w:tc>
      </w:tr>
      <w:tr w:rsidR="0059330F" w:rsidRPr="008F27C2" w14:paraId="4654CD2C" w14:textId="77777777" w:rsidTr="008F27C2">
        <w:tc>
          <w:tcPr>
            <w:tcW w:w="1653" w:type="dxa"/>
          </w:tcPr>
          <w:p w14:paraId="41960800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700" w:type="dxa"/>
          </w:tcPr>
          <w:p w14:paraId="10A83A3B" w14:textId="77777777" w:rsidR="0059330F" w:rsidRPr="008F27C2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identyfikuje kluczowe instytucje wsparcia transferu technologii i wiedzy.</w:t>
            </w:r>
          </w:p>
        </w:tc>
        <w:tc>
          <w:tcPr>
            <w:tcW w:w="1827" w:type="dxa"/>
          </w:tcPr>
          <w:p w14:paraId="77426AF2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14:paraId="23CDE77C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</w:tc>
      </w:tr>
      <w:tr w:rsidR="0059330F" w:rsidRPr="008F27C2" w14:paraId="0168C1FD" w14:textId="77777777" w:rsidTr="008F27C2">
        <w:tc>
          <w:tcPr>
            <w:tcW w:w="1653" w:type="dxa"/>
          </w:tcPr>
          <w:p w14:paraId="78C3198C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5700" w:type="dxa"/>
          </w:tcPr>
          <w:p w14:paraId="107E671E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ma świadomość bardzo szybkiego rozwoju techniki oraz znaczenia transferu i komercjalizacji technologii i wiedzy w rozwoju organizacji/gospodarek.</w:t>
            </w:r>
          </w:p>
        </w:tc>
        <w:tc>
          <w:tcPr>
            <w:tcW w:w="1827" w:type="dxa"/>
          </w:tcPr>
          <w:p w14:paraId="0A428CB4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8F27C2">
              <w:rPr>
                <w:rFonts w:ascii="Corbel" w:hAnsi="Corbel"/>
                <w:smallCaps/>
                <w:sz w:val="21"/>
                <w:szCs w:val="21"/>
              </w:rPr>
              <w:t>K_K02</w:t>
            </w:r>
          </w:p>
          <w:p w14:paraId="5B2AA153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8F27C2">
              <w:rPr>
                <w:rFonts w:ascii="Corbel" w:hAnsi="Corbel"/>
                <w:smallCaps/>
                <w:sz w:val="21"/>
                <w:szCs w:val="21"/>
              </w:rPr>
              <w:t>K_K03</w:t>
            </w:r>
          </w:p>
          <w:p w14:paraId="37643912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8F27C2">
              <w:rPr>
                <w:rFonts w:ascii="Corbel" w:hAnsi="Corbel"/>
                <w:smallCaps/>
                <w:sz w:val="21"/>
                <w:szCs w:val="21"/>
              </w:rPr>
              <w:t>K_K04</w:t>
            </w:r>
          </w:p>
        </w:tc>
      </w:tr>
    </w:tbl>
    <w:p w14:paraId="3656B9AB" w14:textId="77777777" w:rsidR="00060E05" w:rsidRDefault="00060E05" w:rsidP="0059330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</w:p>
    <w:p w14:paraId="06C9E6E3" w14:textId="31563EB9" w:rsidR="0059330F" w:rsidRPr="008F27C2" w:rsidRDefault="0059330F" w:rsidP="5D864930">
      <w:pPr>
        <w:pStyle w:val="Akapitzlist"/>
        <w:spacing w:line="240" w:lineRule="auto"/>
        <w:ind w:left="426"/>
        <w:jc w:val="both"/>
        <w:rPr>
          <w:rFonts w:ascii="Corbel" w:hAnsi="Corbel"/>
          <w:i/>
          <w:iCs/>
          <w:sz w:val="21"/>
          <w:szCs w:val="21"/>
        </w:rPr>
      </w:pPr>
      <w:r w:rsidRPr="5D864930">
        <w:rPr>
          <w:rFonts w:ascii="Corbel" w:hAnsi="Corbel"/>
          <w:b/>
          <w:bCs/>
          <w:sz w:val="21"/>
          <w:szCs w:val="21"/>
        </w:rPr>
        <w:t xml:space="preserve">3.3. Treści programowe </w:t>
      </w:r>
    </w:p>
    <w:p w14:paraId="7D0EF860" w14:textId="77777777" w:rsidR="0059330F" w:rsidRPr="008F27C2" w:rsidRDefault="0059330F" w:rsidP="0059330F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9330F" w:rsidRPr="008F27C2" w14:paraId="587EA2A8" w14:textId="77777777" w:rsidTr="00983435">
        <w:tc>
          <w:tcPr>
            <w:tcW w:w="9639" w:type="dxa"/>
          </w:tcPr>
          <w:p w14:paraId="35113026" w14:textId="77777777" w:rsidR="0059330F" w:rsidRPr="008F27C2" w:rsidRDefault="0059330F" w:rsidP="009834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59330F" w:rsidRPr="008F27C2" w14:paraId="752E1BF2" w14:textId="77777777" w:rsidTr="00983435">
        <w:tc>
          <w:tcPr>
            <w:tcW w:w="9639" w:type="dxa"/>
          </w:tcPr>
          <w:p w14:paraId="53875C0B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Ewolucja i dynamika polityki naukowej, technologicznej i innowacyjnej oraz globalna konkurencyjność technologiczna. Rola państwa w tworzeniu innowacji oraz powiązań nauki i gospodarki.</w:t>
            </w:r>
          </w:p>
        </w:tc>
      </w:tr>
      <w:tr w:rsidR="0059330F" w:rsidRPr="008F27C2" w14:paraId="1F812F83" w14:textId="77777777" w:rsidTr="00983435">
        <w:tc>
          <w:tcPr>
            <w:tcW w:w="9639" w:type="dxa"/>
          </w:tcPr>
          <w:p w14:paraId="1656E891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Transfer i komercjalizacja technologii i wiedzy – podstawowe pojęcia. Transfer technologii i wiedzy w procesie innowacji. System transferu i komercjalizacji technologii i wiedzy – istota i zadania.</w:t>
            </w:r>
          </w:p>
        </w:tc>
      </w:tr>
      <w:tr w:rsidR="0059330F" w:rsidRPr="008F27C2" w14:paraId="6C79E676" w14:textId="77777777" w:rsidTr="00983435">
        <w:tc>
          <w:tcPr>
            <w:tcW w:w="9639" w:type="dxa"/>
          </w:tcPr>
          <w:p w14:paraId="7567D829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Metody oceny potencjału komercyjnego i wartości ekonomicznej innowacyjnego pomysłu w procesie transferu i komercjalizacji.</w:t>
            </w:r>
          </w:p>
        </w:tc>
      </w:tr>
      <w:tr w:rsidR="0059330F" w:rsidRPr="008F27C2" w14:paraId="6A1F256D" w14:textId="77777777" w:rsidTr="00983435">
        <w:tc>
          <w:tcPr>
            <w:tcW w:w="9639" w:type="dxa"/>
          </w:tcPr>
          <w:p w14:paraId="1A0D962A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Sieć wsparcia innowacji. Ośrodki innowacji i ich rola w systemie transferu i komercjalizacji technologii i wiedzy. Instytucje wspierające transfer technologii i wiedzy.</w:t>
            </w:r>
          </w:p>
        </w:tc>
      </w:tr>
      <w:tr w:rsidR="0059330F" w:rsidRPr="008F27C2" w14:paraId="29E28E5B" w14:textId="77777777" w:rsidTr="0098343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67CA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System finansowania transferu i komercjalizacji technologii i wiedzy.</w:t>
            </w:r>
          </w:p>
        </w:tc>
      </w:tr>
      <w:tr w:rsidR="0059330F" w:rsidRPr="008F27C2" w14:paraId="7456BA8E" w14:textId="77777777" w:rsidTr="00983435">
        <w:tc>
          <w:tcPr>
            <w:tcW w:w="9639" w:type="dxa"/>
          </w:tcPr>
          <w:p w14:paraId="7531E553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Przedsiębiorczość akademicka jako metoda transferu i komercjalizacji technologii i wiedzy.</w:t>
            </w:r>
          </w:p>
        </w:tc>
      </w:tr>
    </w:tbl>
    <w:p w14:paraId="45FB0818" w14:textId="77777777" w:rsidR="0059330F" w:rsidRPr="008F27C2" w:rsidRDefault="0059330F" w:rsidP="0059330F">
      <w:pPr>
        <w:pStyle w:val="Akapitzlist"/>
        <w:spacing w:line="240" w:lineRule="auto"/>
        <w:ind w:left="1080"/>
        <w:jc w:val="both"/>
        <w:rPr>
          <w:rFonts w:ascii="Corbel" w:hAnsi="Corbel"/>
          <w:sz w:val="21"/>
          <w:szCs w:val="21"/>
        </w:rPr>
      </w:pPr>
    </w:p>
    <w:p w14:paraId="17B752DD" w14:textId="77777777" w:rsidR="0059330F" w:rsidRPr="008F27C2" w:rsidRDefault="0059330F" w:rsidP="0059330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9330F" w:rsidRPr="008F27C2" w14:paraId="55225495" w14:textId="77777777" w:rsidTr="00983435">
        <w:tc>
          <w:tcPr>
            <w:tcW w:w="9639" w:type="dxa"/>
          </w:tcPr>
          <w:p w14:paraId="5D69D229" w14:textId="77777777" w:rsidR="0059330F" w:rsidRPr="008F27C2" w:rsidRDefault="0059330F" w:rsidP="009834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59330F" w:rsidRPr="008F27C2" w14:paraId="1CD7E6BF" w14:textId="77777777" w:rsidTr="00983435">
        <w:tc>
          <w:tcPr>
            <w:tcW w:w="9639" w:type="dxa"/>
          </w:tcPr>
          <w:p w14:paraId="27468862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Dobre praktyki struktur transferu technologii i wiedzy – centra transferu technologii.</w:t>
            </w:r>
          </w:p>
        </w:tc>
      </w:tr>
      <w:tr w:rsidR="0059330F" w:rsidRPr="008F27C2" w14:paraId="485F1ED1" w14:textId="77777777" w:rsidTr="00983435">
        <w:tc>
          <w:tcPr>
            <w:tcW w:w="9639" w:type="dxa"/>
          </w:tcPr>
          <w:p w14:paraId="7D34EE42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Skuteczne wspieranie transferu i komercjalizacji technologii i wiedzy – studium przypadku.</w:t>
            </w:r>
          </w:p>
        </w:tc>
      </w:tr>
      <w:tr w:rsidR="0059330F" w:rsidRPr="008F27C2" w14:paraId="0CED531C" w14:textId="77777777" w:rsidTr="00983435">
        <w:tc>
          <w:tcPr>
            <w:tcW w:w="9639" w:type="dxa"/>
          </w:tcPr>
          <w:p w14:paraId="604990B1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Dobre praktyki w zakresie wspierania przedsiębiorczości akademickiej i komercjalizacji technologii i wiedzy.</w:t>
            </w:r>
          </w:p>
        </w:tc>
      </w:tr>
      <w:tr w:rsidR="0059330F" w:rsidRPr="008F27C2" w14:paraId="487C7FD4" w14:textId="77777777" w:rsidTr="00983435">
        <w:tc>
          <w:tcPr>
            <w:tcW w:w="9639" w:type="dxa"/>
          </w:tcPr>
          <w:p w14:paraId="73A8D7FB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Projekt końcowy – zakres i zasady realizacji.</w:t>
            </w:r>
          </w:p>
        </w:tc>
      </w:tr>
    </w:tbl>
    <w:p w14:paraId="049F31CB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14:paraId="0C1EA82D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>3.4. Metody dydaktyczne</w:t>
      </w:r>
    </w:p>
    <w:p w14:paraId="019825B4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14:paraId="69EC3482" w14:textId="77777777" w:rsidR="0059330F" w:rsidRPr="008F27C2" w:rsidRDefault="0059330F" w:rsidP="0059330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b w:val="0"/>
          <w:smallCaps w:val="0"/>
          <w:sz w:val="21"/>
          <w:szCs w:val="21"/>
        </w:rPr>
        <w:t>Ćwiczenia: dyskusja, analiza i interpretacja tekstów źródłowych, danych statystycznych i studium przypadku,  praca w grupach, projekt końcowy zespołowy.</w:t>
      </w:r>
    </w:p>
    <w:p w14:paraId="53128261" w14:textId="77777777" w:rsidR="0059330F" w:rsidRPr="008F27C2" w:rsidRDefault="0059330F" w:rsidP="0059330F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14:paraId="1078A5AC" w14:textId="77777777" w:rsidR="0059330F" w:rsidRPr="008F27C2" w:rsidRDefault="0059330F" w:rsidP="0059330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14:paraId="59E5452A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0"/>
        <w:gridCol w:w="5330"/>
        <w:gridCol w:w="2080"/>
      </w:tblGrid>
      <w:tr w:rsidR="0059330F" w:rsidRPr="008F27C2" w14:paraId="0663A13E" w14:textId="77777777" w:rsidTr="00983435">
        <w:tc>
          <w:tcPr>
            <w:tcW w:w="1843" w:type="dxa"/>
            <w:vAlign w:val="center"/>
          </w:tcPr>
          <w:p w14:paraId="59C1A4F7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14:paraId="62486C05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4DA5CD06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59330F" w:rsidRPr="008F27C2" w14:paraId="65D44711" w14:textId="77777777" w:rsidTr="00983435">
        <w:tc>
          <w:tcPr>
            <w:tcW w:w="1843" w:type="dxa"/>
          </w:tcPr>
          <w:p w14:paraId="24D59B3A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lastRenderedPageBreak/>
              <w:t xml:space="preserve">ek_01 </w:t>
            </w:r>
          </w:p>
        </w:tc>
        <w:tc>
          <w:tcPr>
            <w:tcW w:w="5670" w:type="dxa"/>
          </w:tcPr>
          <w:p w14:paraId="3D31C420" w14:textId="77777777" w:rsidR="0059330F" w:rsidRPr="00BE339F" w:rsidRDefault="00BE33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studium przypadku, </w:t>
            </w:r>
            <w:r w:rsidR="0059330F"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zespołowa, obserwacja w trakcie zajęć, projekt</w:t>
            </w: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 końcowy</w:t>
            </w:r>
          </w:p>
        </w:tc>
        <w:tc>
          <w:tcPr>
            <w:tcW w:w="2126" w:type="dxa"/>
          </w:tcPr>
          <w:p w14:paraId="2F73B9DA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9330F" w:rsidRPr="008F27C2" w14:paraId="0A87419D" w14:textId="77777777" w:rsidTr="00983435">
        <w:tc>
          <w:tcPr>
            <w:tcW w:w="1843" w:type="dxa"/>
          </w:tcPr>
          <w:p w14:paraId="696357ED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14:paraId="16F6D3CA" w14:textId="77777777" w:rsidR="0059330F" w:rsidRPr="00BE339F" w:rsidRDefault="00BE33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studium przypadku , </w:t>
            </w:r>
            <w:r w:rsidR="0059330F"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 zespołowa, obserwacja w trakcie zajęć, projekt</w:t>
            </w:r>
            <w:r w:rsidRPr="00BE339F">
              <w:rPr>
                <w:sz w:val="21"/>
                <w:szCs w:val="21"/>
              </w:rPr>
              <w:t xml:space="preserve"> </w:t>
            </w: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końcowy</w:t>
            </w:r>
          </w:p>
        </w:tc>
        <w:tc>
          <w:tcPr>
            <w:tcW w:w="2126" w:type="dxa"/>
          </w:tcPr>
          <w:p w14:paraId="35F77404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9330F" w:rsidRPr="008F27C2" w14:paraId="29CFE78E" w14:textId="77777777" w:rsidTr="00983435">
        <w:tc>
          <w:tcPr>
            <w:tcW w:w="1843" w:type="dxa"/>
          </w:tcPr>
          <w:p w14:paraId="3369B203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14:paraId="756877DE" w14:textId="77777777" w:rsidR="0059330F" w:rsidRPr="00BE339F" w:rsidRDefault="00BE33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studium przypadku , </w:t>
            </w:r>
            <w:r w:rsidR="0059330F"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 zespołowa, obserwacja w trakcie zajęć, projekt</w:t>
            </w:r>
            <w:r w:rsidRPr="00BE339F">
              <w:rPr>
                <w:sz w:val="21"/>
                <w:szCs w:val="21"/>
              </w:rPr>
              <w:t xml:space="preserve"> </w:t>
            </w: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końcowy</w:t>
            </w:r>
          </w:p>
        </w:tc>
        <w:tc>
          <w:tcPr>
            <w:tcW w:w="2126" w:type="dxa"/>
          </w:tcPr>
          <w:p w14:paraId="3D54A698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9330F" w:rsidRPr="008F27C2" w14:paraId="023824DB" w14:textId="77777777" w:rsidTr="00983435">
        <w:tc>
          <w:tcPr>
            <w:tcW w:w="1843" w:type="dxa"/>
          </w:tcPr>
          <w:p w14:paraId="17CCA2B8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14:paraId="07DBFCF1" w14:textId="77777777" w:rsidR="0059330F" w:rsidRPr="00BE339F" w:rsidRDefault="00BE33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studium przypadku , </w:t>
            </w:r>
            <w:r w:rsidR="0059330F"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 , obserwacja w trakcie zajęć, projekt</w:t>
            </w:r>
            <w:r w:rsidRPr="00BE339F">
              <w:rPr>
                <w:sz w:val="21"/>
                <w:szCs w:val="21"/>
              </w:rPr>
              <w:t xml:space="preserve"> </w:t>
            </w: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końcowy</w:t>
            </w:r>
          </w:p>
        </w:tc>
        <w:tc>
          <w:tcPr>
            <w:tcW w:w="2126" w:type="dxa"/>
          </w:tcPr>
          <w:p w14:paraId="7238A3CE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</w:tbl>
    <w:p w14:paraId="4101652C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4B99056E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1299C43A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312CE4C7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9330F" w:rsidRPr="008F27C2" w14:paraId="0794C275" w14:textId="77777777" w:rsidTr="00983435">
        <w:tc>
          <w:tcPr>
            <w:tcW w:w="9670" w:type="dxa"/>
          </w:tcPr>
          <w:p w14:paraId="65F98D97" w14:textId="77777777" w:rsidR="0059330F" w:rsidRPr="008F27C2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14:paraId="35956D03" w14:textId="77777777" w:rsidR="0059330F" w:rsidRPr="008F27C2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1 praca zespołowa,</w:t>
            </w:r>
          </w:p>
          <w:p w14:paraId="2B97C41E" w14:textId="77777777" w:rsidR="0059330F" w:rsidRPr="008F27C2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1 indywidualne studium przypadku,</w:t>
            </w:r>
          </w:p>
          <w:p w14:paraId="702C7039" w14:textId="77777777" w:rsidR="0059330F" w:rsidRPr="008F27C2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ocena aktywności w trakcie zajęć,</w:t>
            </w:r>
          </w:p>
          <w:p w14:paraId="16A378A0" w14:textId="77777777" w:rsidR="0059330F" w:rsidRPr="008F27C2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projekt zespołowy końcowy.</w:t>
            </w:r>
          </w:p>
          <w:p w14:paraId="1CA899E0" w14:textId="77777777" w:rsidR="0059330F" w:rsidRPr="008F27C2" w:rsidRDefault="00060E05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</w:t>
            </w:r>
            <w:r w:rsidR="0059330F"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% maksymalnej liczby punktów przypisanych przez prowadzących zajęcia do poszczególnych prac i aktywności składających się na zaliczenie przedmiotu.</w:t>
            </w:r>
          </w:p>
        </w:tc>
      </w:tr>
    </w:tbl>
    <w:p w14:paraId="4DDBEF00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32066DA3" w14:textId="77777777" w:rsidR="0059330F" w:rsidRPr="008F27C2" w:rsidRDefault="0059330F" w:rsidP="0059330F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8F27C2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7"/>
        <w:gridCol w:w="4453"/>
      </w:tblGrid>
      <w:tr w:rsidR="0059330F" w:rsidRPr="008F27C2" w14:paraId="63D9DE79" w14:textId="77777777" w:rsidTr="00983435">
        <w:tc>
          <w:tcPr>
            <w:tcW w:w="4962" w:type="dxa"/>
            <w:vAlign w:val="center"/>
          </w:tcPr>
          <w:p w14:paraId="4C452BB7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BAACCBA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59330F" w:rsidRPr="008F27C2" w14:paraId="346381E6" w14:textId="77777777" w:rsidTr="00983435">
        <w:tc>
          <w:tcPr>
            <w:tcW w:w="4962" w:type="dxa"/>
          </w:tcPr>
          <w:p w14:paraId="71240D37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  <w:vAlign w:val="center"/>
          </w:tcPr>
          <w:p w14:paraId="219897CE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59330F" w:rsidRPr="008F27C2" w14:paraId="2858F702" w14:textId="77777777" w:rsidTr="00983435">
        <w:tc>
          <w:tcPr>
            <w:tcW w:w="4962" w:type="dxa"/>
          </w:tcPr>
          <w:p w14:paraId="61BA0769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14:paraId="1026ECAF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7144751B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59330F" w:rsidRPr="008F27C2" w14:paraId="3260EA07" w14:textId="77777777" w:rsidTr="00983435">
        <w:tc>
          <w:tcPr>
            <w:tcW w:w="4962" w:type="dxa"/>
          </w:tcPr>
          <w:p w14:paraId="78952487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Godziny niekontaktowe – praca własna studenta (przygotowanie do zajęć, przygotowanie studium przypadku i projektu)</w:t>
            </w:r>
          </w:p>
        </w:tc>
        <w:tc>
          <w:tcPr>
            <w:tcW w:w="4677" w:type="dxa"/>
            <w:vAlign w:val="center"/>
          </w:tcPr>
          <w:p w14:paraId="526D80A2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59330F" w:rsidRPr="008F27C2" w14:paraId="4D6280AD" w14:textId="77777777" w:rsidTr="00983435">
        <w:tc>
          <w:tcPr>
            <w:tcW w:w="4962" w:type="dxa"/>
          </w:tcPr>
          <w:p w14:paraId="3D4B2727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59330F" w:rsidRPr="008F27C2" w14:paraId="0AD00C0E" w14:textId="77777777" w:rsidTr="00983435">
        <w:tc>
          <w:tcPr>
            <w:tcW w:w="4962" w:type="dxa"/>
          </w:tcPr>
          <w:p w14:paraId="5FD1C35E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14:paraId="6BBE219B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8F27C2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14:paraId="16E3DD5A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59330F" w:rsidRPr="008F27C2" w14:paraId="5454FE01" w14:textId="77777777" w:rsidTr="00983435">
        <w:trPr>
          <w:trHeight w:val="397"/>
        </w:trPr>
        <w:tc>
          <w:tcPr>
            <w:tcW w:w="2359" w:type="pct"/>
          </w:tcPr>
          <w:p w14:paraId="146D6691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59330F" w:rsidRPr="008F27C2" w14:paraId="5BCC8499" w14:textId="77777777" w:rsidTr="00983435">
        <w:trPr>
          <w:trHeight w:val="397"/>
        </w:trPr>
        <w:tc>
          <w:tcPr>
            <w:tcW w:w="2359" w:type="pct"/>
          </w:tcPr>
          <w:p w14:paraId="05EFD703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14:paraId="3461D779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7630DC2B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59330F" w:rsidRPr="008F27C2" w14:paraId="2F84CDA5" w14:textId="77777777" w:rsidTr="00983435">
        <w:trPr>
          <w:trHeight w:val="397"/>
        </w:trPr>
        <w:tc>
          <w:tcPr>
            <w:tcW w:w="5000" w:type="pct"/>
          </w:tcPr>
          <w:p w14:paraId="729C9695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14:paraId="1CF3F6E5" w14:textId="77777777" w:rsidR="0059330F" w:rsidRPr="008F27C2" w:rsidRDefault="0059330F" w:rsidP="0059330F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8F27C2">
              <w:rPr>
                <w:rFonts w:ascii="Corbel" w:hAnsi="Corbel"/>
                <w:sz w:val="21"/>
                <w:szCs w:val="21"/>
              </w:rPr>
              <w:t>Sieńczyło-Chlabicz</w:t>
            </w:r>
            <w:proofErr w:type="spellEnd"/>
            <w:r w:rsidRPr="008F27C2">
              <w:rPr>
                <w:rFonts w:ascii="Corbel" w:hAnsi="Corbel"/>
                <w:sz w:val="21"/>
                <w:szCs w:val="21"/>
              </w:rPr>
              <w:t xml:space="preserve"> J. (red.), Komercjalizacja i transfer wyników badań naukowych i prac rozwojowych z uczelni do gospodarki, Wydawnictwo </w:t>
            </w:r>
            <w:proofErr w:type="spellStart"/>
            <w:r w:rsidRPr="008F27C2">
              <w:rPr>
                <w:rFonts w:ascii="Corbel" w:hAnsi="Corbel"/>
                <w:sz w:val="21"/>
                <w:szCs w:val="21"/>
              </w:rPr>
              <w:t>C.H.Beck</w:t>
            </w:r>
            <w:proofErr w:type="spellEnd"/>
            <w:r w:rsidRPr="008F27C2">
              <w:rPr>
                <w:rFonts w:ascii="Corbel" w:hAnsi="Corbel"/>
                <w:sz w:val="21"/>
                <w:szCs w:val="21"/>
              </w:rPr>
              <w:t>, Warszawa 2017.</w:t>
            </w:r>
          </w:p>
          <w:p w14:paraId="76B67193" w14:textId="77777777" w:rsidR="0059330F" w:rsidRPr="008F27C2" w:rsidRDefault="0059330F" w:rsidP="0059330F">
            <w:pPr>
              <w:pStyle w:val="Akapitzlist"/>
              <w:numPr>
                <w:ilvl w:val="0"/>
                <w:numId w:val="2"/>
              </w:numPr>
              <w:spacing w:after="0"/>
              <w:ind w:left="425" w:hanging="357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Matusiak K.B. (red.), Innowacje i transfer technologii. Słownik pojęć, Polska Agencja Rozwoju Przedsiębiorczości, Warszawa 2011 .</w:t>
            </w:r>
          </w:p>
        </w:tc>
      </w:tr>
      <w:tr w:rsidR="0059330F" w:rsidRPr="001B46D7" w14:paraId="654EAF2F" w14:textId="77777777" w:rsidTr="00983435">
        <w:trPr>
          <w:trHeight w:val="397"/>
        </w:trPr>
        <w:tc>
          <w:tcPr>
            <w:tcW w:w="5000" w:type="pct"/>
          </w:tcPr>
          <w:p w14:paraId="218CA5F3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14:paraId="506A784F" w14:textId="77777777" w:rsidR="0059330F" w:rsidRPr="008F27C2" w:rsidRDefault="0059330F" w:rsidP="0059330F">
            <w:pPr>
              <w:pStyle w:val="Akapitzlist"/>
              <w:numPr>
                <w:ilvl w:val="0"/>
                <w:numId w:val="3"/>
              </w:numPr>
              <w:spacing w:after="0"/>
              <w:ind w:left="425" w:hanging="357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 xml:space="preserve">Orłowski W.M., Komercjalizacja badań naukowych w Polsce. Bariery i możliwości ich przełamania, </w:t>
            </w:r>
            <w:proofErr w:type="spellStart"/>
            <w:r w:rsidRPr="008F27C2">
              <w:rPr>
                <w:rFonts w:ascii="Corbel" w:hAnsi="Corbel"/>
                <w:sz w:val="21"/>
                <w:szCs w:val="21"/>
              </w:rPr>
              <w:t>PwC</w:t>
            </w:r>
            <w:proofErr w:type="spellEnd"/>
            <w:r w:rsidRPr="008F27C2">
              <w:rPr>
                <w:rFonts w:ascii="Corbel" w:hAnsi="Corbel"/>
                <w:sz w:val="21"/>
                <w:szCs w:val="21"/>
              </w:rPr>
              <w:t>, Warszawa 2013.</w:t>
            </w:r>
          </w:p>
          <w:p w14:paraId="421915AD" w14:textId="77777777" w:rsidR="0059330F" w:rsidRPr="008F27C2" w:rsidRDefault="0059330F" w:rsidP="0059330F">
            <w:pPr>
              <w:pStyle w:val="Akapitzlist"/>
              <w:numPr>
                <w:ilvl w:val="0"/>
                <w:numId w:val="3"/>
              </w:numPr>
              <w:spacing w:after="0"/>
              <w:ind w:left="425" w:hanging="357"/>
              <w:jc w:val="both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8F27C2">
              <w:rPr>
                <w:rFonts w:ascii="Corbel" w:hAnsi="Corbel"/>
                <w:sz w:val="21"/>
                <w:szCs w:val="21"/>
              </w:rPr>
              <w:t>Gwarda</w:t>
            </w:r>
            <w:proofErr w:type="spellEnd"/>
            <w:r w:rsidRPr="008F27C2">
              <w:rPr>
                <w:rFonts w:ascii="Corbel" w:hAnsi="Corbel"/>
                <w:sz w:val="21"/>
                <w:szCs w:val="21"/>
              </w:rPr>
              <w:t xml:space="preserve">-Gruszczyńska E., Modele procesu komercjalizacji nowych technologii, Wydawnictwo Uniwersytetu Łódzkiego, Łódź 2013. </w:t>
            </w:r>
          </w:p>
          <w:p w14:paraId="720E6281" w14:textId="77777777" w:rsidR="0059330F" w:rsidRPr="00004596" w:rsidRDefault="00004596" w:rsidP="00004596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1"/>
                <w:szCs w:val="21"/>
                <w:lang w:val="en-US"/>
              </w:rPr>
            </w:pPr>
            <w:r w:rsidRPr="00004596">
              <w:rPr>
                <w:rFonts w:ascii="Corbel" w:hAnsi="Corbel"/>
                <w:sz w:val="21"/>
                <w:szCs w:val="21"/>
                <w:lang w:val="en-US"/>
              </w:rPr>
              <w:t xml:space="preserve">Lechwar M., </w:t>
            </w:r>
            <w:proofErr w:type="spellStart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>Puchalska</w:t>
            </w:r>
            <w:proofErr w:type="spellEnd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 xml:space="preserve"> K., </w:t>
            </w:r>
            <w:proofErr w:type="spellStart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>Możliwości</w:t>
            </w:r>
            <w:proofErr w:type="spellEnd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>współpracy</w:t>
            </w:r>
            <w:proofErr w:type="spellEnd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 xml:space="preserve"> firm z </w:t>
            </w:r>
            <w:proofErr w:type="spellStart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>kapitałem</w:t>
            </w:r>
            <w:proofErr w:type="spellEnd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>zagranicznym</w:t>
            </w:r>
            <w:proofErr w:type="spellEnd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 xml:space="preserve"> z </w:t>
            </w:r>
            <w:proofErr w:type="spellStart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>centrami</w:t>
            </w:r>
            <w:proofErr w:type="spellEnd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>transferu</w:t>
            </w:r>
            <w:proofErr w:type="spellEnd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>technologii</w:t>
            </w:r>
            <w:proofErr w:type="spellEnd"/>
            <w:r w:rsidRPr="00004596">
              <w:rPr>
                <w:rFonts w:ascii="Corbel" w:hAnsi="Corbel"/>
                <w:sz w:val="21"/>
                <w:szCs w:val="21"/>
                <w:lang w:val="en-US"/>
              </w:rPr>
              <w:t xml:space="preserve"> Humanities and Social Sciences, Quarterly, Volume XXII (July - September) </w:t>
            </w:r>
            <w:r w:rsidRPr="00004596">
              <w:rPr>
                <w:rFonts w:ascii="Corbel" w:hAnsi="Corbel"/>
                <w:sz w:val="21"/>
                <w:szCs w:val="21"/>
                <w:lang w:val="en-US"/>
              </w:rPr>
              <w:lastRenderedPageBreak/>
              <w:t>Research Journal 24 (3/2017), Publishing House of Rz</w:t>
            </w:r>
            <w:r>
              <w:rPr>
                <w:rFonts w:ascii="Corbel" w:hAnsi="Corbel"/>
                <w:sz w:val="21"/>
                <w:szCs w:val="21"/>
                <w:lang w:val="en-US"/>
              </w:rPr>
              <w:t>eszow University of Technology.</w:t>
            </w:r>
          </w:p>
        </w:tc>
      </w:tr>
    </w:tbl>
    <w:p w14:paraId="3CF2D8B6" w14:textId="77777777" w:rsidR="00502A6D" w:rsidRPr="00004596" w:rsidRDefault="00502A6D">
      <w:pPr>
        <w:rPr>
          <w:rFonts w:ascii="Corbel" w:hAnsi="Corbel"/>
          <w:lang w:val="en-US"/>
        </w:rPr>
      </w:pPr>
    </w:p>
    <w:sectPr w:rsidR="00502A6D" w:rsidRPr="00004596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D0093"/>
    <w:multiLevelType w:val="hybridMultilevel"/>
    <w:tmpl w:val="87EE333A"/>
    <w:lvl w:ilvl="0" w:tplc="CCBCE058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83C20"/>
    <w:multiLevelType w:val="hybridMultilevel"/>
    <w:tmpl w:val="96F846D6"/>
    <w:lvl w:ilvl="0" w:tplc="0415000F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3" w15:restartNumberingAfterBreak="0">
    <w:nsid w:val="6A917F43"/>
    <w:multiLevelType w:val="hybridMultilevel"/>
    <w:tmpl w:val="4C688730"/>
    <w:lvl w:ilvl="0" w:tplc="1D62AB7E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330F"/>
    <w:rsid w:val="00004596"/>
    <w:rsid w:val="00013B90"/>
    <w:rsid w:val="00060E05"/>
    <w:rsid w:val="001B46D7"/>
    <w:rsid w:val="002123CD"/>
    <w:rsid w:val="00240E59"/>
    <w:rsid w:val="00257DDC"/>
    <w:rsid w:val="00502A6D"/>
    <w:rsid w:val="0059330F"/>
    <w:rsid w:val="005E3EFA"/>
    <w:rsid w:val="008F27C2"/>
    <w:rsid w:val="00BE339F"/>
    <w:rsid w:val="0D321E66"/>
    <w:rsid w:val="2087D078"/>
    <w:rsid w:val="29881757"/>
    <w:rsid w:val="37E7D05C"/>
    <w:rsid w:val="49C6DC14"/>
    <w:rsid w:val="585FCD75"/>
    <w:rsid w:val="5C766D1E"/>
    <w:rsid w:val="5D864930"/>
    <w:rsid w:val="6798006A"/>
    <w:rsid w:val="6E7EB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37931"/>
  <w15:docId w15:val="{32230EA8-5F29-4EA1-8B87-7D24EEEE2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330F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330F"/>
    <w:pPr>
      <w:ind w:left="720"/>
      <w:contextualSpacing/>
    </w:pPr>
  </w:style>
  <w:style w:type="paragraph" w:customStyle="1" w:styleId="Default">
    <w:name w:val="Default"/>
    <w:rsid w:val="0059330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59330F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59330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59330F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59330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59330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59330F"/>
  </w:style>
  <w:style w:type="paragraph" w:customStyle="1" w:styleId="centralniewrubryce">
    <w:name w:val="centralnie w rubryce"/>
    <w:basedOn w:val="Normalny"/>
    <w:rsid w:val="0059330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59330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933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9330F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27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5EF5A2-449F-4968-ADE9-03CAC7E194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63C1AF-3DD6-4DB9-860F-9553ABCE2A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BD2A87-0932-406A-A343-6329AE3FC7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962</Words>
  <Characters>5776</Characters>
  <Application>Microsoft Office Word</Application>
  <DocSecurity>0</DocSecurity>
  <Lines>48</Lines>
  <Paragraphs>13</Paragraphs>
  <ScaleCrop>false</ScaleCrop>
  <Company>Acer</Company>
  <LinksUpToDate>false</LinksUpToDate>
  <CharactersWithSpaces>6725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Lencka Elżbieta</cp:lastModifiedBy>
  <cp:revision>17</cp:revision>
  <dcterms:created xsi:type="dcterms:W3CDTF">2020-10-21T19:12:00Z</dcterms:created>
  <dcterms:modified xsi:type="dcterms:W3CDTF">2021-11-04T14:00:00Z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